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FA0674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C</w:t>
      </w:r>
      <w:r w:rsidR="00857D03">
        <w:rPr>
          <w:rFonts w:ascii="Arial Black" w:eastAsia="Arial" w:hAnsi="Arial Black" w:cs="Arial"/>
          <w:b/>
          <w:color w:val="1F4E79"/>
        </w:rPr>
        <w:t>GMSG</w:t>
      </w:r>
    </w:p>
    <w:p w:rsidR="00857D03" w:rsidRPr="000A1F9D" w:rsidRDefault="00857D03" w:rsidP="00857D0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A1F9D">
        <w:rPr>
          <w:rFonts w:ascii="Arial" w:hAnsi="Arial" w:cs="Arial"/>
          <w:b/>
          <w:sz w:val="16"/>
          <w:szCs w:val="16"/>
        </w:rPr>
        <w:t xml:space="preserve">PORTARIA N.º </w:t>
      </w:r>
      <w:r>
        <w:rPr>
          <w:rFonts w:ascii="Arial" w:hAnsi="Arial" w:cs="Arial"/>
          <w:b/>
          <w:sz w:val="16"/>
          <w:szCs w:val="16"/>
        </w:rPr>
        <w:t>XX</w:t>
      </w:r>
      <w:r w:rsidRPr="000A1F9D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>XXXX</w:t>
      </w:r>
      <w:bookmarkStart w:id="0" w:name="_GoBack"/>
      <w:bookmarkEnd w:id="0"/>
      <w:r w:rsidRPr="000A1F9D">
        <w:rPr>
          <w:rFonts w:ascii="Arial" w:hAnsi="Arial" w:cs="Arial"/>
          <w:b/>
          <w:sz w:val="16"/>
          <w:szCs w:val="16"/>
        </w:rPr>
        <w:t>/CGMSG</w:t>
      </w:r>
    </w:p>
    <w:p w:rsidR="00857D03" w:rsidRPr="000A1F9D" w:rsidRDefault="00857D03" w:rsidP="00857D0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A1F9D">
        <w:rPr>
          <w:rFonts w:ascii="Arial" w:hAnsi="Arial" w:cs="Arial"/>
          <w:b/>
          <w:sz w:val="16"/>
          <w:szCs w:val="16"/>
        </w:rPr>
        <w:t>PRORROGA PRAZO DO PROCESSO ADMINISTRATIVO DISCIPLINAR INSTITUÍDO NA PORTARIA N.º 05/2022/CGMSG E DÁ OUTRAS PROVIDÊNCIAS</w:t>
      </w:r>
    </w:p>
    <w:p w:rsidR="00857D03" w:rsidRPr="000A1F9D" w:rsidRDefault="00857D03" w:rsidP="00857D0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A1F9D">
        <w:rPr>
          <w:rFonts w:ascii="Arial" w:hAnsi="Arial" w:cs="Arial"/>
          <w:b/>
          <w:sz w:val="16"/>
          <w:szCs w:val="16"/>
        </w:rPr>
        <w:t>O CORREGEDOR-GERAL DA GUARDA MUNICIPAL DE SÃO GONÇALO, no uso de suas atribuições legais conforme inciso IV do Art. 3º da Lei 866/2018, que dispõe sobre a Criação da Corregedoria e O</w:t>
      </w:r>
      <w:r w:rsidRPr="000A1F9D">
        <w:rPr>
          <w:rFonts w:ascii="Arial" w:hAnsi="Arial" w:cs="Arial"/>
          <w:b/>
          <w:sz w:val="16"/>
          <w:szCs w:val="16"/>
        </w:rPr>
        <w:t>u</w:t>
      </w:r>
      <w:r w:rsidRPr="000A1F9D">
        <w:rPr>
          <w:rFonts w:ascii="Arial" w:hAnsi="Arial" w:cs="Arial"/>
          <w:b/>
          <w:sz w:val="16"/>
          <w:szCs w:val="16"/>
        </w:rPr>
        <w:t>vidoria da Guarda Municipal de São Gonçalo,</w:t>
      </w:r>
    </w:p>
    <w:p w:rsidR="00857D03" w:rsidRPr="000A1F9D" w:rsidRDefault="00857D03" w:rsidP="00857D0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A1F9D">
        <w:rPr>
          <w:rFonts w:ascii="Arial" w:hAnsi="Arial" w:cs="Arial"/>
          <w:b/>
          <w:sz w:val="16"/>
          <w:szCs w:val="16"/>
        </w:rPr>
        <w:t>RESOLVE:</w:t>
      </w:r>
    </w:p>
    <w:p w:rsidR="00857D03" w:rsidRPr="000A1F9D" w:rsidRDefault="00857D03" w:rsidP="00857D0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A1F9D">
        <w:rPr>
          <w:rFonts w:ascii="Arial" w:hAnsi="Arial" w:cs="Arial"/>
          <w:b/>
          <w:sz w:val="16"/>
          <w:szCs w:val="16"/>
        </w:rPr>
        <w:t xml:space="preserve">Art.1º Prorroga o prazo do Processo Administrativo Disciplinar instituído pela Portaria n.º </w:t>
      </w:r>
      <w:r>
        <w:rPr>
          <w:rFonts w:ascii="Arial" w:hAnsi="Arial" w:cs="Arial"/>
          <w:b/>
          <w:sz w:val="16"/>
          <w:szCs w:val="16"/>
        </w:rPr>
        <w:t>XX</w:t>
      </w:r>
      <w:r w:rsidRPr="000A1F9D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>XXXX</w:t>
      </w:r>
      <w:r w:rsidRPr="000A1F9D">
        <w:rPr>
          <w:rFonts w:ascii="Arial" w:hAnsi="Arial" w:cs="Arial"/>
          <w:b/>
          <w:sz w:val="16"/>
          <w:szCs w:val="16"/>
        </w:rPr>
        <w:t xml:space="preserve">/CGMSG, de </w:t>
      </w:r>
      <w:r>
        <w:rPr>
          <w:rFonts w:ascii="Arial" w:hAnsi="Arial" w:cs="Arial"/>
          <w:b/>
          <w:sz w:val="16"/>
          <w:szCs w:val="16"/>
        </w:rPr>
        <w:t>XX</w:t>
      </w:r>
      <w:r w:rsidRPr="000A1F9D">
        <w:rPr>
          <w:rFonts w:ascii="Arial" w:hAnsi="Arial" w:cs="Arial"/>
          <w:b/>
          <w:sz w:val="16"/>
          <w:szCs w:val="16"/>
        </w:rPr>
        <w:t xml:space="preserve"> de fevereiro de </w:t>
      </w:r>
      <w:r>
        <w:rPr>
          <w:rFonts w:ascii="Arial" w:hAnsi="Arial" w:cs="Arial"/>
          <w:b/>
          <w:sz w:val="16"/>
          <w:szCs w:val="16"/>
        </w:rPr>
        <w:t>XXXX</w:t>
      </w:r>
      <w:r w:rsidRPr="000A1F9D">
        <w:rPr>
          <w:rFonts w:ascii="Arial" w:hAnsi="Arial" w:cs="Arial"/>
          <w:b/>
          <w:sz w:val="16"/>
          <w:szCs w:val="16"/>
        </w:rPr>
        <w:t xml:space="preserve">, publicada no Diário Oficial de </w:t>
      </w:r>
      <w:r>
        <w:rPr>
          <w:rFonts w:ascii="Arial" w:hAnsi="Arial" w:cs="Arial"/>
          <w:b/>
          <w:sz w:val="16"/>
          <w:szCs w:val="16"/>
        </w:rPr>
        <w:t>XX</w:t>
      </w:r>
      <w:r w:rsidRPr="000A1F9D">
        <w:rPr>
          <w:rFonts w:ascii="Arial" w:hAnsi="Arial" w:cs="Arial"/>
          <w:b/>
          <w:sz w:val="16"/>
          <w:szCs w:val="16"/>
        </w:rPr>
        <w:t xml:space="preserve"> de fevereiro de </w:t>
      </w:r>
      <w:r>
        <w:rPr>
          <w:rFonts w:ascii="Arial" w:hAnsi="Arial" w:cs="Arial"/>
          <w:b/>
          <w:sz w:val="16"/>
          <w:szCs w:val="16"/>
        </w:rPr>
        <w:t>XXXX</w:t>
      </w:r>
      <w:r w:rsidRPr="000A1F9D">
        <w:rPr>
          <w:rFonts w:ascii="Arial" w:hAnsi="Arial" w:cs="Arial"/>
          <w:b/>
          <w:sz w:val="16"/>
          <w:szCs w:val="16"/>
        </w:rPr>
        <w:t xml:space="preserve">, Processo Administrativo n.º </w:t>
      </w:r>
      <w:r>
        <w:rPr>
          <w:rFonts w:ascii="Arial" w:hAnsi="Arial" w:cs="Arial"/>
          <w:b/>
          <w:sz w:val="16"/>
          <w:szCs w:val="16"/>
        </w:rPr>
        <w:t>X.XXX</w:t>
      </w:r>
      <w:r w:rsidRPr="000A1F9D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>XXXX</w:t>
      </w:r>
      <w:r w:rsidRPr="000A1F9D">
        <w:rPr>
          <w:rFonts w:ascii="Arial" w:hAnsi="Arial" w:cs="Arial"/>
          <w:b/>
          <w:sz w:val="16"/>
          <w:szCs w:val="16"/>
        </w:rPr>
        <w:t>, ante as razões apresentadas no M</w:t>
      </w:r>
      <w:r w:rsidRPr="000A1F9D">
        <w:rPr>
          <w:rFonts w:ascii="Arial" w:hAnsi="Arial" w:cs="Arial"/>
          <w:b/>
          <w:sz w:val="16"/>
          <w:szCs w:val="16"/>
        </w:rPr>
        <w:t>e</w:t>
      </w:r>
      <w:r w:rsidRPr="000A1F9D">
        <w:rPr>
          <w:rFonts w:ascii="Arial" w:hAnsi="Arial" w:cs="Arial"/>
          <w:b/>
          <w:sz w:val="16"/>
          <w:szCs w:val="16"/>
        </w:rPr>
        <w:t xml:space="preserve">morando n.º </w:t>
      </w:r>
      <w:r>
        <w:rPr>
          <w:rFonts w:ascii="Arial" w:hAnsi="Arial" w:cs="Arial"/>
          <w:b/>
          <w:sz w:val="16"/>
          <w:szCs w:val="16"/>
        </w:rPr>
        <w:t>XX</w:t>
      </w:r>
      <w:r w:rsidRPr="000A1F9D">
        <w:rPr>
          <w:rFonts w:ascii="Arial" w:hAnsi="Arial" w:cs="Arial"/>
          <w:b/>
          <w:sz w:val="16"/>
          <w:szCs w:val="16"/>
        </w:rPr>
        <w:t>/</w:t>
      </w:r>
      <w:r>
        <w:rPr>
          <w:rFonts w:ascii="Arial" w:hAnsi="Arial" w:cs="Arial"/>
          <w:b/>
          <w:sz w:val="16"/>
          <w:szCs w:val="16"/>
        </w:rPr>
        <w:t>XXXX</w:t>
      </w:r>
      <w:r w:rsidRPr="000A1F9D">
        <w:rPr>
          <w:rFonts w:ascii="Arial" w:hAnsi="Arial" w:cs="Arial"/>
          <w:b/>
          <w:sz w:val="16"/>
          <w:szCs w:val="16"/>
        </w:rPr>
        <w:t xml:space="preserve">/CGMSG, de </w:t>
      </w:r>
      <w:r>
        <w:rPr>
          <w:rFonts w:ascii="Arial" w:hAnsi="Arial" w:cs="Arial"/>
          <w:b/>
          <w:sz w:val="16"/>
          <w:szCs w:val="16"/>
        </w:rPr>
        <w:t>XX</w:t>
      </w:r>
      <w:r w:rsidRPr="000A1F9D">
        <w:rPr>
          <w:rFonts w:ascii="Arial" w:hAnsi="Arial" w:cs="Arial"/>
          <w:b/>
          <w:sz w:val="16"/>
          <w:szCs w:val="16"/>
        </w:rPr>
        <w:t xml:space="preserve"> de abril de </w:t>
      </w:r>
      <w:r>
        <w:rPr>
          <w:rFonts w:ascii="Arial" w:hAnsi="Arial" w:cs="Arial"/>
          <w:b/>
          <w:sz w:val="16"/>
          <w:szCs w:val="16"/>
        </w:rPr>
        <w:t>XXXX</w:t>
      </w:r>
      <w:r w:rsidRPr="000A1F9D">
        <w:rPr>
          <w:rFonts w:ascii="Arial" w:hAnsi="Arial" w:cs="Arial"/>
          <w:b/>
          <w:sz w:val="16"/>
          <w:szCs w:val="16"/>
        </w:rPr>
        <w:t>.</w:t>
      </w:r>
    </w:p>
    <w:p w:rsidR="00857D03" w:rsidRPr="000A1F9D" w:rsidRDefault="00857D03" w:rsidP="00857D0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A1F9D">
        <w:rPr>
          <w:rFonts w:ascii="Arial" w:hAnsi="Arial" w:cs="Arial"/>
          <w:b/>
          <w:sz w:val="16"/>
          <w:szCs w:val="16"/>
        </w:rPr>
        <w:t>Art. 2º Esta Portaria entra em vigor na data de sua publ</w:t>
      </w:r>
      <w:r w:rsidRPr="000A1F9D">
        <w:rPr>
          <w:rFonts w:ascii="Arial" w:hAnsi="Arial" w:cs="Arial"/>
          <w:b/>
          <w:sz w:val="16"/>
          <w:szCs w:val="16"/>
        </w:rPr>
        <w:t>i</w:t>
      </w:r>
      <w:r w:rsidRPr="000A1F9D">
        <w:rPr>
          <w:rFonts w:ascii="Arial" w:hAnsi="Arial" w:cs="Arial"/>
          <w:b/>
          <w:sz w:val="16"/>
          <w:szCs w:val="16"/>
        </w:rPr>
        <w:t>cação.</w:t>
      </w:r>
    </w:p>
    <w:p w:rsidR="00857D03" w:rsidRPr="000A1F9D" w:rsidRDefault="00857D03" w:rsidP="00857D0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A1F9D">
        <w:rPr>
          <w:rFonts w:ascii="Arial" w:hAnsi="Arial" w:cs="Arial"/>
          <w:b/>
          <w:sz w:val="16"/>
          <w:szCs w:val="16"/>
        </w:rPr>
        <w:t>São Gonçalo, 18 de abril de 2022.</w:t>
      </w:r>
    </w:p>
    <w:p w:rsidR="00857D03" w:rsidRPr="000A1F9D" w:rsidRDefault="00857D03" w:rsidP="00857D0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A1F9D">
        <w:rPr>
          <w:rFonts w:ascii="Arial" w:hAnsi="Arial" w:cs="Arial"/>
          <w:b/>
          <w:sz w:val="16"/>
          <w:szCs w:val="16"/>
        </w:rPr>
        <w:t>MÁRCIO EVERSON DA SILVA SOUZA</w:t>
      </w:r>
    </w:p>
    <w:p w:rsidR="00857D03" w:rsidRPr="000A1F9D" w:rsidRDefault="00857D03" w:rsidP="00857D03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A1F9D">
        <w:rPr>
          <w:rFonts w:ascii="Arial" w:hAnsi="Arial" w:cs="Arial"/>
          <w:b/>
          <w:sz w:val="16"/>
          <w:szCs w:val="16"/>
        </w:rPr>
        <w:t>Corregedor-Geral – CGMSG</w:t>
      </w:r>
    </w:p>
    <w:p w:rsidR="00397B0E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P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footerReference w:type="default" r:id="rId8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F0" w:rsidRDefault="00FB40F0">
      <w:r>
        <w:separator/>
      </w:r>
    </w:p>
  </w:endnote>
  <w:endnote w:type="continuationSeparator" w:id="0">
    <w:p w:rsidR="00FB40F0" w:rsidRDefault="00F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57D03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57D03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F0" w:rsidRDefault="00FB40F0">
      <w:r>
        <w:separator/>
      </w:r>
    </w:p>
  </w:footnote>
  <w:footnote w:type="continuationSeparator" w:id="0">
    <w:p w:rsidR="00FB40F0" w:rsidRDefault="00FB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2005B0"/>
    <w:rsid w:val="00397B0E"/>
    <w:rsid w:val="00663A64"/>
    <w:rsid w:val="00857D03"/>
    <w:rsid w:val="00A57E27"/>
    <w:rsid w:val="00A96ED1"/>
    <w:rsid w:val="00BA6971"/>
    <w:rsid w:val="00DB5DA1"/>
    <w:rsid w:val="00EA7368"/>
    <w:rsid w:val="00F640E2"/>
    <w:rsid w:val="00FA0674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2</cp:revision>
  <cp:lastPrinted>2022-04-25T21:22:00Z</cp:lastPrinted>
  <dcterms:created xsi:type="dcterms:W3CDTF">2022-05-10T16:07:00Z</dcterms:created>
  <dcterms:modified xsi:type="dcterms:W3CDTF">2022-05-10T16:07:00Z</dcterms:modified>
</cp:coreProperties>
</file>