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9" w:rsidRDefault="002B0509" w:rsidP="00365CA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2B0509" w:rsidRDefault="002B0509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DECRETO Nº </w:t>
      </w:r>
      <w:r w:rsidR="007E7D2D">
        <w:rPr>
          <w:rFonts w:ascii="Arial" w:eastAsia="Arial" w:hAnsi="Arial" w:cs="Arial"/>
          <w:b/>
          <w:sz w:val="24"/>
        </w:rPr>
        <w:t>488</w:t>
      </w:r>
      <w:r w:rsidR="007D215C">
        <w:rPr>
          <w:rFonts w:ascii="Arial" w:eastAsia="Arial" w:hAnsi="Arial" w:cs="Arial"/>
          <w:b/>
          <w:sz w:val="24"/>
        </w:rPr>
        <w:t>/</w:t>
      </w:r>
      <w:proofErr w:type="gramStart"/>
      <w:r w:rsidR="007D215C">
        <w:rPr>
          <w:rFonts w:ascii="Arial" w:eastAsia="Arial" w:hAnsi="Arial" w:cs="Arial"/>
          <w:b/>
          <w:sz w:val="24"/>
        </w:rPr>
        <w:t>2023.</w:t>
      </w:r>
      <w:proofErr w:type="gramEnd"/>
      <w:r w:rsidR="007D215C">
        <w:rPr>
          <w:rFonts w:ascii="Arial" w:eastAsia="Arial" w:hAnsi="Arial" w:cs="Arial"/>
          <w:b/>
          <w:sz w:val="24"/>
        </w:rPr>
        <w:t>(Publicado em 16/11/2023)</w:t>
      </w:r>
      <w:bookmarkStart w:id="0" w:name="_GoBack"/>
      <w:bookmarkEnd w:id="0"/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EMENTA: NOTIFICA DO LANÇAMENTO DE OFÍCIO DOS TRIBUTOS MUNICIPAIS QUE MENCIONA, RELATIVOS AO EXERCÍCIO DE 2024, DISPÕE SOBRE A FORMA E OS PRAZOS DE PAGAMENTO E DÁ OUTRAS PROVIDÊNCIAS.</w:t>
      </w:r>
    </w:p>
    <w:p w:rsidR="002B0509" w:rsidRDefault="002B0509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 PREFEITO DO MUNICÍPIO DE SÃO GONÇALO, no uso de suas atribuições legais e tendo em vista o que estabelece a legislação em vigor,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DECRETA:</w:t>
      </w:r>
    </w:p>
    <w:p w:rsidR="002B0509" w:rsidRDefault="002B050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1º- Com base nos termos do artigo 23 da Lei 041 de 15 de dezembro de 2003, ficam notificados os Contribuintes dos lançamentos e da entrega, por via postal e eletrônica no sítio oficial da Prefeitura de São Gonçalo – </w:t>
      </w:r>
      <w:hyperlink r:id="rId4">
        <w:r>
          <w:rPr>
            <w:rFonts w:ascii="Arial" w:eastAsia="Arial" w:hAnsi="Arial" w:cs="Arial"/>
            <w:b/>
            <w:color w:val="0000FF"/>
            <w:sz w:val="24"/>
            <w:u w:val="single"/>
          </w:rPr>
          <w:t>www.saogoncalo.rj.gov.br</w:t>
        </w:r>
      </w:hyperlink>
      <w:r>
        <w:rPr>
          <w:rFonts w:ascii="Arial" w:eastAsia="Arial" w:hAnsi="Arial" w:cs="Arial"/>
          <w:b/>
          <w:sz w:val="24"/>
        </w:rPr>
        <w:t xml:space="preserve"> -, dos carnês referentes ao exercício de 2024, dos seguintes tributos: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 – Imposto Sobre a Propriedade Predial e Territorial Urbana – IPTU; </w:t>
      </w:r>
    </w:p>
    <w:p w:rsidR="002B0509" w:rsidRDefault="002D5F13" w:rsidP="009A1224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 - Imposto Sobre Serviços de Qualquer Natureza – ISSQN, </w:t>
      </w:r>
      <w:r w:rsidR="009A1224">
        <w:rPr>
          <w:rFonts w:ascii="Arial" w:eastAsia="Arial" w:hAnsi="Arial" w:cs="Arial"/>
          <w:b/>
          <w:sz w:val="24"/>
        </w:rPr>
        <w:t>em relação aos profissionais liberais, nos termos do art. 169 e 170 c/</w:t>
      </w:r>
      <w:proofErr w:type="gramStart"/>
      <w:r w:rsidR="009A1224">
        <w:rPr>
          <w:rFonts w:ascii="Arial" w:eastAsia="Arial" w:hAnsi="Arial" w:cs="Arial"/>
          <w:b/>
          <w:sz w:val="24"/>
        </w:rPr>
        <w:t>c</w:t>
      </w:r>
      <w:proofErr w:type="gramEnd"/>
      <w:r w:rsidR="009A1224">
        <w:rPr>
          <w:rFonts w:ascii="Arial" w:eastAsia="Arial" w:hAnsi="Arial" w:cs="Arial"/>
          <w:b/>
          <w:sz w:val="24"/>
        </w:rPr>
        <w:t xml:space="preserve"> art. 158 todos do CTM</w:t>
      </w:r>
      <w:r>
        <w:rPr>
          <w:rFonts w:ascii="Arial" w:eastAsia="Arial" w:hAnsi="Arial" w:cs="Arial"/>
          <w:b/>
          <w:sz w:val="24"/>
        </w:rPr>
        <w:t xml:space="preserve">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III - Taxas municipais, compreendendo as Taxas de Fiscalização e Controle, de Autorização de Publicidade, de Coleta de Lixo Domiciliar e de Inspeção Sanitária.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Parágrafo Único – O não recebimento do carnê antes do prazo de vencimento, de qualquer um dos tributos compreendidos nos incisos do art. 1º, não desobriga o contribuinte de procurá-lo na repartição municipal competente.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2º- O Imposto sobre a Propriedade Predial e Territorial Urbana – IPTU, a Taxa de Coleta de Lixo Domiciliar, a Taxa de Fiscalização e Controle e a Taxa de Autorização de Publicidade, referente ao exercício de 2024, no caso de lançamentos ordinários, poderão ser parcelados da seguinte forma: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 – IPTU em até 12 (doze) cotas mensais;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 – Taxa de Coleta de Lixo Domiciliar em até 12 (doze) </w:t>
      </w:r>
      <w:proofErr w:type="gramStart"/>
      <w:r>
        <w:rPr>
          <w:rFonts w:ascii="Arial" w:eastAsia="Arial" w:hAnsi="Arial" w:cs="Arial"/>
          <w:b/>
          <w:sz w:val="24"/>
        </w:rPr>
        <w:t>cotas mensais cobrada</w:t>
      </w:r>
      <w:proofErr w:type="gramEnd"/>
      <w:r>
        <w:rPr>
          <w:rFonts w:ascii="Arial" w:eastAsia="Arial" w:hAnsi="Arial" w:cs="Arial"/>
          <w:b/>
          <w:sz w:val="24"/>
        </w:rPr>
        <w:t xml:space="preserve"> juntamente com as cotas do IPTU;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III – Taxa de Fiscalização e Controle em até 12 (doze) cotas mensais;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IV – Taxa de Autorização de Publicidade em até 6 (seis) cotas mensais;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 – Taxa de Inspeção Sanitária em até 12 (doze) cotas mensais.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 1º Para os lançamentos extraordinários as guias serão emitidas em tantas cotas mensais quanto o número de meses restantes até o final do exercício.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 2º As parcelas, de que tratam os incisos do art. 2º, não poderão ser inferiores a 1(uma) UFISG.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3º- Os tributos de que trata o art. 2º poderão ser pagos em cota única, conforme anexo, nas seguintes condições: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I – IPTU e TCLD, até o dia</w:t>
      </w:r>
      <w:r>
        <w:rPr>
          <w:rFonts w:ascii="Arial" w:eastAsia="Arial" w:hAnsi="Arial" w:cs="Arial"/>
          <w:b/>
          <w:sz w:val="24"/>
        </w:rPr>
        <w:t xml:space="preserve"> 31/01/2024 com 5% de desconto, conforme anexo a este decreto, dependendo do final da inscrição imobiliária.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 – Taxa de Fiscalização e Controle, até o dia 31/01/2024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com 5% de desconto;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III – Taxa de Autorização de Publicidade, até o dia 31/01/2024 com 5% de desconto;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IV – Taxa de Inspeção Sanitária, até o dia 31/01/2024 com 5% de desconto.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 1º - O desconto na cota única do Imposto sobre a Propriedade Predial e Territorial Urbana e Taxa de Coleta de Lixo Domiciliar será concedido nas guias de lançamentos ordinários, não prevalecendo para as guias de lançamentos extraordinários. Os lançamentos extraordinários são os relativos a créditos tributários constituídos a partir de processos administrativos ou de ação de fiscalização.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§ 2º O desconto na cota única das Taxas de Fiscalização e Controle, de Autorização de Publicidade e de Inspeção Sanitária, será concedido somente nas guias de lançamentos ordinários, não prevalecendo para as guias de lançamentos extraordinários.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4º- Os prazos para pagamento em cota única ou em cotas estão descritos no – CATRIM, Calendário de Tributos Municipais, que constitui o anexo deste decreto.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5º- As Taxas de Fiscalização e Controle, de Inspeção Sanitária e de Autorização de Publicidade serão cobradas no mesmo carnê da seguinte forma: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 I – Cota única e parcelas da Taxa de Fiscalização e Controle;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II – Cota única e parcelas da Taxa de Inspeção Sanitária; </w:t>
      </w:r>
    </w:p>
    <w:p w:rsidR="002B0509" w:rsidRDefault="002D5F13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III – Cota única e parcelas da Taxa de Autorização e Publicidade.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Art. 6º- Os tributos relativos ao exercício de 2024 somente poderão ser pagos a partir de 02 (dois) de janeiro de 2024, nas agências bancárias conveniadas e casas lotéricas credenciadas.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7º- Os contribuintes que não receberem as guias de IPTU e Taxa de Coleta de Lixo Domiciliar deverão acessar a página da prefeitura no “site” </w:t>
      </w:r>
      <w:hyperlink r:id="rId5">
        <w:r>
          <w:rPr>
            <w:rFonts w:ascii="Arial" w:eastAsia="Arial" w:hAnsi="Arial" w:cs="Arial"/>
            <w:b/>
            <w:i/>
            <w:color w:val="0000FF"/>
            <w:sz w:val="24"/>
            <w:u w:val="single"/>
          </w:rPr>
          <w:t>www.pmsg.rj.gov.br</w:t>
        </w:r>
      </w:hyperlink>
      <w:r>
        <w:rPr>
          <w:rFonts w:ascii="Arial" w:eastAsia="Arial" w:hAnsi="Arial" w:cs="Arial"/>
          <w:b/>
          <w:sz w:val="24"/>
        </w:rPr>
        <w:t xml:space="preserve">, na aba serviços ou dirigirem-se aos Postos de Atendimento da Secretaria Municipal de Fazenda para solicitar a 2ª via.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8°- Os pagamentos referentes ao IPTU, ao ISSQN e à Taxa de Coleta de Lixo Domiciliar efetuados após a data fixada na parcela do carnê terão seus valores calculados, conforme a fórmula: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Valor a pagar = </w:t>
      </w:r>
      <w:proofErr w:type="gramStart"/>
      <w:r>
        <w:rPr>
          <w:rFonts w:ascii="Arial" w:eastAsia="Arial" w:hAnsi="Arial" w:cs="Arial"/>
          <w:b/>
          <w:sz w:val="24"/>
        </w:rPr>
        <w:t xml:space="preserve">( </w:t>
      </w:r>
      <w:proofErr w:type="spellStart"/>
      <w:r>
        <w:rPr>
          <w:rFonts w:ascii="Arial" w:eastAsia="Arial" w:hAnsi="Arial" w:cs="Arial"/>
          <w:b/>
          <w:sz w:val="24"/>
        </w:rPr>
        <w:t>Vo</w:t>
      </w:r>
      <w:proofErr w:type="spellEnd"/>
      <w:proofErr w:type="gramEnd"/>
      <w:r>
        <w:rPr>
          <w:rFonts w:ascii="Arial" w:eastAsia="Arial" w:hAnsi="Arial" w:cs="Arial"/>
          <w:b/>
          <w:sz w:val="24"/>
        </w:rPr>
        <w:t xml:space="preserve"> + J + M)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Onde: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Vo</w:t>
      </w:r>
      <w:proofErr w:type="spellEnd"/>
      <w:r>
        <w:rPr>
          <w:rFonts w:ascii="Arial" w:eastAsia="Arial" w:hAnsi="Arial" w:cs="Arial"/>
          <w:b/>
          <w:sz w:val="24"/>
        </w:rPr>
        <w:t xml:space="preserve"> = valor da parcela sem juros e sem multa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 = quantidade de meses ou fração de mês em atraso x 0,01 x </w:t>
      </w:r>
      <w:proofErr w:type="spellStart"/>
      <w:r>
        <w:rPr>
          <w:rFonts w:ascii="Arial" w:eastAsia="Arial" w:hAnsi="Arial" w:cs="Arial"/>
          <w:b/>
          <w:sz w:val="24"/>
        </w:rPr>
        <w:t>Vo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 = (quantidade de anos em atraso + 1) x 0,02 x Vo.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Exemplo: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Vencimento               IPTU                                   Acréscimo 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25/01/2021                R$20,00                                      0%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Se o pagamento for efetuado no dia 28/04/2021, a quantidade de meses em atraso será igual a 4 (3 meses + 1 fração de mês)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J = 4 </w:t>
      </w:r>
      <w:proofErr w:type="gramStart"/>
      <w:r>
        <w:rPr>
          <w:rFonts w:ascii="Arial" w:eastAsia="Arial" w:hAnsi="Arial" w:cs="Arial"/>
          <w:b/>
          <w:i/>
          <w:sz w:val="24"/>
        </w:rPr>
        <w:t>x</w:t>
      </w:r>
      <w:proofErr w:type="gramEnd"/>
      <w:r>
        <w:rPr>
          <w:rFonts w:ascii="Arial" w:eastAsia="Arial" w:hAnsi="Arial" w:cs="Arial"/>
          <w:b/>
          <w:i/>
          <w:sz w:val="24"/>
        </w:rPr>
        <w:t xml:space="preserve"> 0,01 x 20,00 = 0,80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M = 1x 0,02 </w:t>
      </w:r>
      <w:proofErr w:type="gramStart"/>
      <w:r>
        <w:rPr>
          <w:rFonts w:ascii="Arial" w:eastAsia="Arial" w:hAnsi="Arial" w:cs="Arial"/>
          <w:b/>
          <w:i/>
          <w:sz w:val="24"/>
        </w:rPr>
        <w:t>x</w:t>
      </w:r>
      <w:proofErr w:type="gramEnd"/>
      <w:r>
        <w:rPr>
          <w:rFonts w:ascii="Arial" w:eastAsia="Arial" w:hAnsi="Arial" w:cs="Arial"/>
          <w:b/>
          <w:i/>
          <w:sz w:val="24"/>
        </w:rPr>
        <w:t xml:space="preserve"> 20,00 = 0,40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Valor a pagar = (20,00 + 0,80 + 0,40) x 1 = R$ 21,20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9°- O valor da Unidade Fiscal do Município de São Gonçalo – UFISG, </w:t>
      </w:r>
      <w:r>
        <w:rPr>
          <w:rFonts w:ascii="Arial" w:eastAsia="Arial" w:hAnsi="Arial" w:cs="Arial"/>
          <w:b/>
          <w:color w:val="000000"/>
          <w:sz w:val="24"/>
        </w:rPr>
        <w:t xml:space="preserve">passa ser </w:t>
      </w:r>
      <w:r>
        <w:rPr>
          <w:rFonts w:ascii="Arial" w:eastAsia="Arial" w:hAnsi="Arial" w:cs="Arial"/>
          <w:b/>
          <w:sz w:val="24"/>
        </w:rPr>
        <w:t>R$ 47,38(quarenta e sete reais e trinta e oito centavos), conforme Decreto nº 363/2023, a partir de 1º de janeiro de 2024.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Art. 10 - As impugnações aos lançamentos deverão ser protocolizadas formalmente no prazo de até 30 dias, após o vencimento das cotas únicas do IPTU, TCLD, TAP, TFC e TIS, bem como dos vencimentos mensais do ISS, devendo o requerente informar precisamente o motivo da impugnação e instruir os processos com todos os elementos necessários até a data final para impugnação. </w:t>
      </w: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Parágrafo Único – Os lançamentos resultantes de processos de impugnação protocolados, após o vencimento das cotas únicas, não ensejarão o desconto previsto no artigo 3º. 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Art. 11-</w:t>
      </w:r>
      <w:r>
        <w:rPr>
          <w:rFonts w:ascii="Arial" w:eastAsia="Arial" w:hAnsi="Arial" w:cs="Arial"/>
          <w:b/>
          <w:spacing w:val="25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27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p</w:t>
      </w:r>
      <w:r>
        <w:rPr>
          <w:rFonts w:ascii="Arial" w:eastAsia="Arial" w:hAnsi="Arial" w:cs="Arial"/>
          <w:b/>
          <w:spacing w:val="2"/>
          <w:sz w:val="24"/>
        </w:rPr>
        <w:t>a</w:t>
      </w:r>
      <w:r>
        <w:rPr>
          <w:rFonts w:ascii="Arial" w:eastAsia="Arial" w:hAnsi="Arial" w:cs="Arial"/>
          <w:b/>
          <w:spacing w:val="-2"/>
          <w:sz w:val="24"/>
        </w:rPr>
        <w:t>g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pacing w:val="3"/>
          <w:sz w:val="24"/>
        </w:rPr>
        <w:t>m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z w:val="24"/>
        </w:rPr>
        <w:t>n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2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do</w:t>
      </w:r>
      <w:r>
        <w:rPr>
          <w:rFonts w:ascii="Arial" w:eastAsia="Arial" w:hAnsi="Arial" w:cs="Arial"/>
          <w:b/>
          <w:spacing w:val="24"/>
          <w:sz w:val="24"/>
        </w:rPr>
        <w:t xml:space="preserve"> I</w:t>
      </w:r>
      <w:r>
        <w:rPr>
          <w:rFonts w:ascii="Arial" w:eastAsia="Arial" w:hAnsi="Arial" w:cs="Arial"/>
          <w:b/>
          <w:spacing w:val="1"/>
          <w:sz w:val="24"/>
        </w:rPr>
        <w:t>m</w:t>
      </w:r>
      <w:r>
        <w:rPr>
          <w:rFonts w:ascii="Arial" w:eastAsia="Arial" w:hAnsi="Arial" w:cs="Arial"/>
          <w:b/>
          <w:sz w:val="24"/>
        </w:rPr>
        <w:t>pos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22"/>
          <w:sz w:val="24"/>
        </w:rPr>
        <w:t xml:space="preserve"> Sobre Serviço de Qualquer Natureza – ISSQN </w:t>
      </w: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pacing w:val="2"/>
          <w:sz w:val="24"/>
        </w:rPr>
        <w:t>r</w:t>
      </w:r>
      <w:r>
        <w:rPr>
          <w:rFonts w:ascii="Arial" w:eastAsia="Arial" w:hAnsi="Arial" w:cs="Arial"/>
          <w:b/>
          <w:sz w:val="24"/>
        </w:rPr>
        <w:t>á</w:t>
      </w:r>
      <w:r>
        <w:rPr>
          <w:rFonts w:ascii="Arial" w:eastAsia="Arial" w:hAnsi="Arial" w:cs="Arial"/>
          <w:b/>
          <w:spacing w:val="27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efe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pacing w:val="2"/>
          <w:sz w:val="24"/>
        </w:rPr>
        <w:t>ua</w:t>
      </w:r>
      <w:r>
        <w:rPr>
          <w:rFonts w:ascii="Arial" w:eastAsia="Arial" w:hAnsi="Arial" w:cs="Arial"/>
          <w:b/>
          <w:sz w:val="24"/>
        </w:rPr>
        <w:t>do</w:t>
      </w:r>
      <w:r>
        <w:rPr>
          <w:rFonts w:ascii="Arial" w:eastAsia="Arial" w:hAnsi="Arial" w:cs="Arial"/>
          <w:b/>
          <w:spacing w:val="22"/>
          <w:sz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</w:rPr>
        <w:t>m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z w:val="24"/>
        </w:rPr>
        <w:t>ns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pacing w:val="1"/>
          <w:sz w:val="24"/>
        </w:rPr>
        <w:t>lm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z w:val="24"/>
        </w:rPr>
        <w:t>n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pacing w:val="26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z w:val="24"/>
        </w:rPr>
        <w:t>é</w:t>
      </w:r>
      <w:r>
        <w:rPr>
          <w:rFonts w:ascii="Arial" w:eastAsia="Arial" w:hAnsi="Arial" w:cs="Arial"/>
          <w:b/>
          <w:spacing w:val="28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25"/>
          <w:sz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</w:rPr>
        <w:t>d</w:t>
      </w:r>
      <w:r>
        <w:rPr>
          <w:rFonts w:ascii="Arial" w:eastAsia="Arial" w:hAnsi="Arial" w:cs="Arial"/>
          <w:b/>
          <w:spacing w:val="1"/>
          <w:sz w:val="24"/>
        </w:rPr>
        <w:t>i</w:t>
      </w:r>
      <w:r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pacing w:val="25"/>
          <w:sz w:val="24"/>
        </w:rPr>
        <w:t xml:space="preserve"> 10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(dez)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c</w:t>
      </w:r>
      <w:r>
        <w:rPr>
          <w:rFonts w:ascii="Arial" w:eastAsia="Arial" w:hAnsi="Arial" w:cs="Arial"/>
          <w:b/>
          <w:sz w:val="24"/>
        </w:rPr>
        <w:t>om b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z w:val="24"/>
        </w:rPr>
        <w:t>se</w:t>
      </w:r>
      <w:r>
        <w:rPr>
          <w:rFonts w:ascii="Arial" w:eastAsia="Arial" w:hAnsi="Arial" w:cs="Arial"/>
          <w:b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</w:rPr>
        <w:t>n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op</w:t>
      </w:r>
      <w:r>
        <w:rPr>
          <w:rFonts w:ascii="Arial" w:eastAsia="Arial" w:hAnsi="Arial" w:cs="Arial"/>
          <w:b/>
          <w:spacing w:val="2"/>
          <w:sz w:val="24"/>
        </w:rPr>
        <w:t>e</w:t>
      </w:r>
      <w:r>
        <w:rPr>
          <w:rFonts w:ascii="Arial" w:eastAsia="Arial" w:hAnsi="Arial" w:cs="Arial"/>
          <w:b/>
          <w:spacing w:val="-1"/>
          <w:sz w:val="24"/>
        </w:rPr>
        <w:t>raç</w:t>
      </w:r>
      <w:r>
        <w:rPr>
          <w:rFonts w:ascii="Arial" w:eastAsia="Arial" w:hAnsi="Arial" w:cs="Arial"/>
          <w:b/>
          <w:sz w:val="24"/>
        </w:rPr>
        <w:t>õ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pacing w:val="-1"/>
          <w:sz w:val="24"/>
        </w:rPr>
        <w:t>r</w:t>
      </w:r>
      <w:r>
        <w:rPr>
          <w:rFonts w:ascii="Arial" w:eastAsia="Arial" w:hAnsi="Arial" w:cs="Arial"/>
          <w:b/>
          <w:spacing w:val="1"/>
          <w:sz w:val="24"/>
        </w:rPr>
        <w:t>i</w:t>
      </w:r>
      <w:r>
        <w:rPr>
          <w:rFonts w:ascii="Arial" w:eastAsia="Arial" w:hAnsi="Arial" w:cs="Arial"/>
          <w:b/>
          <w:sz w:val="24"/>
        </w:rPr>
        <w:t>bu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pacing w:val="-1"/>
          <w:sz w:val="24"/>
        </w:rPr>
        <w:t>á</w:t>
      </w:r>
      <w:r>
        <w:rPr>
          <w:rFonts w:ascii="Arial" w:eastAsia="Arial" w:hAnsi="Arial" w:cs="Arial"/>
          <w:b/>
          <w:spacing w:val="2"/>
          <w:sz w:val="24"/>
        </w:rPr>
        <w:t>v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pacing w:val="1"/>
          <w:sz w:val="24"/>
        </w:rPr>
        <w:t>i</w:t>
      </w: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r</w:t>
      </w:r>
      <w:r>
        <w:rPr>
          <w:rFonts w:ascii="Arial" w:eastAsia="Arial" w:hAnsi="Arial" w:cs="Arial"/>
          <w:b/>
          <w:spacing w:val="2"/>
          <w:sz w:val="24"/>
        </w:rPr>
        <w:t>e</w:t>
      </w:r>
      <w:r>
        <w:rPr>
          <w:rFonts w:ascii="Arial" w:eastAsia="Arial" w:hAnsi="Arial" w:cs="Arial"/>
          <w:b/>
          <w:spacing w:val="-1"/>
          <w:sz w:val="24"/>
        </w:rPr>
        <w:t>fe</w:t>
      </w:r>
      <w:r>
        <w:rPr>
          <w:rFonts w:ascii="Arial" w:eastAsia="Arial" w:hAnsi="Arial" w:cs="Arial"/>
          <w:b/>
          <w:spacing w:val="2"/>
          <w:sz w:val="24"/>
        </w:rPr>
        <w:t>r</w:t>
      </w:r>
      <w:r>
        <w:rPr>
          <w:rFonts w:ascii="Arial" w:eastAsia="Arial" w:hAnsi="Arial" w:cs="Arial"/>
          <w:b/>
          <w:spacing w:val="-1"/>
          <w:sz w:val="24"/>
        </w:rPr>
        <w:t>e</w:t>
      </w:r>
      <w:r>
        <w:rPr>
          <w:rFonts w:ascii="Arial" w:eastAsia="Arial" w:hAnsi="Arial" w:cs="Arial"/>
          <w:b/>
          <w:spacing w:val="2"/>
          <w:sz w:val="24"/>
        </w:rPr>
        <w:t>n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z w:val="24"/>
        </w:rPr>
        <w:t>es</w:t>
      </w:r>
      <w:r>
        <w:rPr>
          <w:rFonts w:ascii="Arial" w:eastAsia="Arial" w:hAnsi="Arial" w:cs="Arial"/>
          <w:b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</w:rPr>
        <w:t>a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</w:rPr>
        <w:t>m</w:t>
      </w:r>
      <w:r>
        <w:rPr>
          <w:rFonts w:ascii="Arial" w:eastAsia="Arial" w:hAnsi="Arial" w:cs="Arial"/>
          <w:b/>
          <w:spacing w:val="-1"/>
          <w:sz w:val="24"/>
        </w:rPr>
        <w:t>ê</w:t>
      </w: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pacing w:val="-1"/>
          <w:sz w:val="24"/>
        </w:rPr>
        <w:t xml:space="preserve"> a</w:t>
      </w:r>
      <w:r>
        <w:rPr>
          <w:rFonts w:ascii="Arial" w:eastAsia="Arial" w:hAnsi="Arial" w:cs="Arial"/>
          <w:b/>
          <w:sz w:val="24"/>
        </w:rPr>
        <w:t>n</w:t>
      </w:r>
      <w:r>
        <w:rPr>
          <w:rFonts w:ascii="Arial" w:eastAsia="Arial" w:hAnsi="Arial" w:cs="Arial"/>
          <w:b/>
          <w:spacing w:val="1"/>
          <w:sz w:val="24"/>
        </w:rPr>
        <w:t>t</w:t>
      </w:r>
      <w:r>
        <w:rPr>
          <w:rFonts w:ascii="Arial" w:eastAsia="Arial" w:hAnsi="Arial" w:cs="Arial"/>
          <w:b/>
          <w:spacing w:val="2"/>
          <w:sz w:val="24"/>
        </w:rPr>
        <w:t>e</w:t>
      </w:r>
      <w:r>
        <w:rPr>
          <w:rFonts w:ascii="Arial" w:eastAsia="Arial" w:hAnsi="Arial" w:cs="Arial"/>
          <w:b/>
          <w:spacing w:val="-1"/>
          <w:sz w:val="24"/>
        </w:rPr>
        <w:t>r</w:t>
      </w:r>
      <w:r>
        <w:rPr>
          <w:rFonts w:ascii="Arial" w:eastAsia="Arial" w:hAnsi="Arial" w:cs="Arial"/>
          <w:b/>
          <w:spacing w:val="1"/>
          <w:sz w:val="24"/>
        </w:rPr>
        <w:t>i</w:t>
      </w:r>
      <w:r>
        <w:rPr>
          <w:rFonts w:ascii="Arial" w:eastAsia="Arial" w:hAnsi="Arial" w:cs="Arial"/>
          <w:b/>
          <w:sz w:val="24"/>
        </w:rPr>
        <w:t>o</w:t>
      </w:r>
      <w:r>
        <w:rPr>
          <w:rFonts w:ascii="Arial" w:eastAsia="Arial" w:hAnsi="Arial" w:cs="Arial"/>
          <w:b/>
          <w:spacing w:val="-1"/>
          <w:sz w:val="24"/>
        </w:rPr>
        <w:t>r, no caso, do dia 10 (dez) cair no sábado, domingo ou feriado, o pagamento do tributo ficará prorrogado para o primeiro dia útil posterior</w:t>
      </w:r>
      <w:r>
        <w:rPr>
          <w:rFonts w:ascii="Arial" w:eastAsia="Arial" w:hAnsi="Arial" w:cs="Arial"/>
          <w:b/>
          <w:sz w:val="24"/>
        </w:rPr>
        <w:t>.</w:t>
      </w:r>
    </w:p>
    <w:p w:rsidR="002B0509" w:rsidRDefault="002B050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</w:p>
    <w:p w:rsidR="002B0509" w:rsidRDefault="002D5F1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Art. 12 -  Este Decreto entrará em vigor na data de sua publicação, produzindo seus efeitos a partir de 1º de janeiro de 2024, revogadas as disposições em contrário.</w:t>
      </w:r>
    </w:p>
    <w:p w:rsidR="002B0509" w:rsidRDefault="002B050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2B0509" w:rsidRDefault="007E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São Gonçalo, em 16 de novembro </w:t>
      </w:r>
      <w:r w:rsidR="002D5F13">
        <w:rPr>
          <w:rFonts w:ascii="Arial" w:eastAsia="Arial" w:hAnsi="Arial" w:cs="Arial"/>
          <w:b/>
          <w:sz w:val="24"/>
        </w:rPr>
        <w:t>de 2023.</w:t>
      </w:r>
      <w:r w:rsidR="002D5F13">
        <w:rPr>
          <w:rFonts w:ascii="Times New Roman" w:eastAsia="Times New Roman" w:hAnsi="Times New Roman" w:cs="Times New Roman"/>
          <w:b/>
          <w:sz w:val="24"/>
        </w:rPr>
        <w:br/>
      </w:r>
      <w:r w:rsidR="002D5F13">
        <w:rPr>
          <w:rFonts w:ascii="Arial" w:eastAsia="Arial" w:hAnsi="Arial" w:cs="Arial"/>
          <w:b/>
          <w:sz w:val="24"/>
        </w:rPr>
        <w:t>NELSON RUAS DOS SANTOS</w:t>
      </w:r>
      <w:r w:rsidR="002D5F13">
        <w:rPr>
          <w:rFonts w:ascii="Times New Roman" w:eastAsia="Times New Roman" w:hAnsi="Times New Roman" w:cs="Times New Roman"/>
          <w:b/>
          <w:sz w:val="24"/>
        </w:rPr>
        <w:br/>
      </w:r>
      <w:r w:rsidR="002D5F13">
        <w:rPr>
          <w:rFonts w:ascii="Arial" w:eastAsia="Arial" w:hAnsi="Arial" w:cs="Arial"/>
          <w:b/>
          <w:sz w:val="24"/>
        </w:rPr>
        <w:t>Prefeito</w:t>
      </w:r>
    </w:p>
    <w:p w:rsidR="002B0509" w:rsidRDefault="002B050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2B0509" w:rsidRDefault="002B050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2B0509" w:rsidRDefault="002B050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2B0509" w:rsidRDefault="002B050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030F8E" w:rsidRDefault="00030F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030F8E" w:rsidRDefault="00030F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030F8E" w:rsidRDefault="00030F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2B0509" w:rsidRDefault="002D5F1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ANEXO</w:t>
      </w:r>
    </w:p>
    <w:p w:rsidR="002B0509" w:rsidRDefault="002B050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852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2552"/>
        <w:gridCol w:w="1110"/>
        <w:gridCol w:w="2008"/>
      </w:tblGrid>
      <w:tr w:rsidR="002B0509" w:rsidTr="00390448">
        <w:tc>
          <w:tcPr>
            <w:tcW w:w="8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B0509" w:rsidRDefault="002D5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CATRIM – CALENDÁRIO DE IMPOSTOS E TAXAS MUNICIPAIS</w:t>
            </w:r>
          </w:p>
        </w:tc>
      </w:tr>
      <w:tr w:rsidR="002B0509" w:rsidTr="00390448"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B0509" w:rsidRDefault="002D5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EXERCÍCIO 2024</w:t>
            </w:r>
          </w:p>
        </w:tc>
      </w:tr>
      <w:tr w:rsidR="002B0509" w:rsidTr="00390448">
        <w:tc>
          <w:tcPr>
            <w:tcW w:w="8520" w:type="dxa"/>
            <w:gridSpan w:val="4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B0509" w:rsidRDefault="002D5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TAXA DE FISCALIZAÇÃO E CONTROLE</w:t>
            </w:r>
          </w:p>
        </w:tc>
      </w:tr>
      <w:tr w:rsidR="00EA06B2" w:rsidTr="00EA06B2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PARCELA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DESCONTO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VENCIMENTO </w:t>
            </w:r>
          </w:p>
        </w:tc>
      </w:tr>
      <w:tr w:rsidR="00EA06B2" w:rsidTr="00EA06B2">
        <w:tc>
          <w:tcPr>
            <w:tcW w:w="28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COTA ÚNICA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5%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29/02/2024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28/03/2024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30/04/2024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29/05/2024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28/06/2024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31/07/2024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30/08/2024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30/09/2024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31/10/2024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29/11/2024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Pr="00390448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Pr="00390448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27/12/2024</w:t>
            </w:r>
          </w:p>
        </w:tc>
      </w:tr>
      <w:tr w:rsidR="002D5F13" w:rsidTr="002B73D4">
        <w:tc>
          <w:tcPr>
            <w:tcW w:w="85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D5F13" w:rsidRDefault="002D5F13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90448" w:rsidTr="00390448">
        <w:tc>
          <w:tcPr>
            <w:tcW w:w="85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90448" w:rsidRDefault="00390448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TAXA DE INSPEÇÃO SANITÁRIA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PARCELA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ind w:left="-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DESCONTO 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VENCIMENTO 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COTA ÚNICA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5%         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29/02/2024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28/03/2024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30/04/2024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29/05/2024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28/06/2024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31/07/2024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30/08/2024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30/09/2024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31/10/2024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29/11/2024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Pr="00390448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Pr="00390448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27/12/2024</w:t>
            </w:r>
          </w:p>
        </w:tc>
      </w:tr>
      <w:tr w:rsidR="002D5F13" w:rsidTr="00753CA8">
        <w:tc>
          <w:tcPr>
            <w:tcW w:w="85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5F13" w:rsidRDefault="002D5F13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B0509" w:rsidTr="00EA06B2">
        <w:tc>
          <w:tcPr>
            <w:tcW w:w="651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B0509" w:rsidRDefault="002D5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                 TAXA DA AUTORIZAÇÃO DE PUBLICIDADE</w:t>
            </w:r>
          </w:p>
        </w:tc>
        <w:tc>
          <w:tcPr>
            <w:tcW w:w="2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B0509" w:rsidRDefault="002D5F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 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PARCELA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DESCONTO 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VENCIMENTO 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COTA ÚNICA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5%</w:t>
            </w: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31/01/2024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29/02/2024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28/03/2024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30/04/2024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29/05/2024</w:t>
            </w:r>
          </w:p>
        </w:tc>
      </w:tr>
      <w:tr w:rsidR="00EA06B2" w:rsidTr="00EA06B2"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6B2" w:rsidRDefault="00EA06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A06B2" w:rsidRDefault="00EA06B2" w:rsidP="003904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28/06/2024</w:t>
            </w:r>
          </w:p>
        </w:tc>
      </w:tr>
    </w:tbl>
    <w:p w:rsidR="002B0509" w:rsidRDefault="002B0509">
      <w:pPr>
        <w:spacing w:before="100" w:after="0" w:line="240" w:lineRule="auto"/>
        <w:ind w:right="-427"/>
        <w:rPr>
          <w:rFonts w:ascii="Calibri" w:eastAsia="Calibri" w:hAnsi="Calibri" w:cs="Calibri"/>
          <w:b/>
          <w:sz w:val="24"/>
        </w:rPr>
      </w:pPr>
    </w:p>
    <w:p w:rsidR="00390448" w:rsidRDefault="00390448">
      <w:pPr>
        <w:spacing w:before="100" w:after="0" w:line="240" w:lineRule="auto"/>
        <w:ind w:right="-427"/>
        <w:rPr>
          <w:rFonts w:ascii="Calibri" w:eastAsia="Calibri" w:hAnsi="Calibri" w:cs="Calibri"/>
          <w:b/>
          <w:sz w:val="24"/>
        </w:rPr>
      </w:pPr>
    </w:p>
    <w:p w:rsidR="002B0509" w:rsidRDefault="002B0509" w:rsidP="00390448">
      <w:pPr>
        <w:tabs>
          <w:tab w:val="left" w:pos="708"/>
        </w:tabs>
        <w:suppressAutoHyphens/>
        <w:spacing w:after="20" w:line="240" w:lineRule="auto"/>
        <w:rPr>
          <w:rFonts w:ascii="Calibri" w:eastAsia="Calibri" w:hAnsi="Calibri" w:cs="Calibri"/>
          <w:color w:val="00000A"/>
          <w:sz w:val="24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843"/>
        <w:gridCol w:w="1843"/>
        <w:gridCol w:w="425"/>
        <w:gridCol w:w="2126"/>
      </w:tblGrid>
      <w:tr w:rsidR="00390448" w:rsidRPr="002D5F13" w:rsidTr="00390448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224" w:rsidRDefault="00390448">
            <w:pPr>
              <w:spacing w:after="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sz w:val="24"/>
                <w:szCs w:val="24"/>
              </w:rPr>
              <w:t>IMPOSTO SOBRE SERVIÇOS DE QUALQUER NATUREZA</w:t>
            </w:r>
            <w:r w:rsidR="009A122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390448" w:rsidRPr="002D5F13" w:rsidRDefault="009A1224">
            <w:pPr>
              <w:spacing w:after="2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</w:rPr>
              <w:t>art. 169 e 170 c/c art. 158 todos do CTM)</w:t>
            </w:r>
          </w:p>
        </w:tc>
      </w:tr>
      <w:tr w:rsidR="00EA06B2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6B2" w:rsidRPr="002D5F13" w:rsidRDefault="00EA06B2" w:rsidP="00390448">
            <w:pPr>
              <w:spacing w:after="2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color w:val="000000"/>
                <w:sz w:val="24"/>
                <w:szCs w:val="24"/>
              </w:rPr>
              <w:t>PARCELA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06B2" w:rsidRPr="002D5F13" w:rsidRDefault="00EA06B2" w:rsidP="00390448">
            <w:pPr>
              <w:spacing w:after="2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COMPETÊNCIA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06B2" w:rsidRPr="002D5F13" w:rsidRDefault="00EA06B2" w:rsidP="00390448">
            <w:pPr>
              <w:spacing w:after="2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color w:val="000000"/>
                <w:sz w:val="24"/>
                <w:szCs w:val="24"/>
              </w:rPr>
              <w:t>VENCIMENTO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JANEIRO/2024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15/02/2024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FEVEREIRO/2024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11/03/2024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MARÇO/2024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10/04/2024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ABRIL/2024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10/05/2024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MAIO/2024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10/06/2024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JUNHO/2024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10/07/2024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JULHO/2024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12/08/2024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AGOSTO/2024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10/09/2024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SETEMBRO/2024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10/10/2024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OUTUBRO/2024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11/11/2024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NOVEMBRO/2024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10/12/2024</w:t>
            </w:r>
          </w:p>
        </w:tc>
      </w:tr>
      <w:tr w:rsidR="00E40285" w:rsidRPr="002D5F13" w:rsidTr="00E4028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285" w:rsidRPr="002D5F13" w:rsidRDefault="00E40285" w:rsidP="0039044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 w:rsidP="0039044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A06B2">
              <w:rPr>
                <w:rFonts w:eastAsia="Calibri" w:cstheme="minorHAnsi"/>
                <w:b/>
                <w:sz w:val="24"/>
                <w:szCs w:val="24"/>
              </w:rPr>
              <w:t>DEZEMBRO/2024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285" w:rsidRPr="002D5F13" w:rsidRDefault="00E40285" w:rsidP="0039044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sz w:val="24"/>
                <w:szCs w:val="24"/>
              </w:rPr>
              <w:t>13/01/2025</w:t>
            </w:r>
          </w:p>
        </w:tc>
      </w:tr>
      <w:tr w:rsidR="002D5F13" w:rsidRPr="002D5F13" w:rsidTr="00042BA5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F13" w:rsidRPr="002D5F13" w:rsidRDefault="002D5F13" w:rsidP="00390448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90448" w:rsidRPr="002D5F13" w:rsidTr="0051692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448" w:rsidRPr="002D5F13" w:rsidRDefault="00390448" w:rsidP="0039044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sz w:val="24"/>
                <w:szCs w:val="24"/>
              </w:rPr>
              <w:t>IMPOSTO PREDIAL E TERRITORIAL URBANO E TAXA DE COLETA DE LIXO DOMICILIAR</w:t>
            </w:r>
          </w:p>
        </w:tc>
      </w:tr>
      <w:tr w:rsidR="00EA06B2" w:rsidRPr="002D5F13" w:rsidTr="00E4028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5F13" w:rsidRPr="002D5F13" w:rsidRDefault="002D5F13" w:rsidP="002D5F13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F13" w:rsidRPr="002D5F13" w:rsidRDefault="002D5F13" w:rsidP="002D5F1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D5F13">
              <w:rPr>
                <w:rFonts w:eastAsia="Calibri" w:cstheme="minorHAnsi"/>
                <w:b/>
                <w:sz w:val="24"/>
                <w:szCs w:val="24"/>
              </w:rPr>
              <w:t>SETORES 0, 1, 2, 3 e 4</w:t>
            </w:r>
          </w:p>
        </w:tc>
      </w:tr>
      <w:tr w:rsidR="00EA06B2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PARCELAS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DESCONTO</w:t>
            </w:r>
          </w:p>
        </w:tc>
        <w:tc>
          <w:tcPr>
            <w:tcW w:w="439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5F13" w:rsidRPr="002D5F13" w:rsidRDefault="002D5F13" w:rsidP="002D5F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FINAIS 0,1, 2, 3, 4, 5, 6, 7, 8 E 9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Cota única 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31/01/2024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31/01/2024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31/01/2024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31/01/2024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29/02/2024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28/03/2024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28/03/2024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30/04/2024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30/04/2024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29/05/2024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29/05/2024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28/06/2024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28/06/2024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31/07/2024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31/07/2024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30/08/2024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30/08/2024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30/09/2024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30/09/2024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31/10/2024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31/10/2024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29/11/2024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29/11/2024</w:t>
            </w:r>
          </w:p>
        </w:tc>
      </w:tr>
      <w:tr w:rsidR="00E40285" w:rsidRPr="002D5F13" w:rsidTr="00E40285">
        <w:tc>
          <w:tcPr>
            <w:tcW w:w="21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27/12/2024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5F13" w:rsidRPr="002D5F13" w:rsidRDefault="002D5F13" w:rsidP="002D5F1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5F13">
              <w:rPr>
                <w:rFonts w:eastAsia="Arial" w:cstheme="minorHAnsi"/>
                <w:b/>
                <w:sz w:val="24"/>
                <w:szCs w:val="24"/>
              </w:rPr>
              <w:t>27/12/2024</w:t>
            </w:r>
          </w:p>
        </w:tc>
      </w:tr>
    </w:tbl>
    <w:p w:rsidR="002B0509" w:rsidRDefault="002B0509">
      <w:pPr>
        <w:tabs>
          <w:tab w:val="left" w:pos="708"/>
        </w:tabs>
        <w:suppressAutoHyphens/>
        <w:spacing w:after="200" w:line="240" w:lineRule="auto"/>
        <w:jc w:val="center"/>
        <w:rPr>
          <w:rFonts w:ascii="Calibri" w:eastAsia="Calibri" w:hAnsi="Calibri" w:cs="Calibri"/>
          <w:b/>
          <w:color w:val="00000A"/>
          <w:sz w:val="16"/>
        </w:rPr>
      </w:pPr>
    </w:p>
    <w:p w:rsidR="002B0509" w:rsidRDefault="002B0509">
      <w:pPr>
        <w:tabs>
          <w:tab w:val="left" w:pos="708"/>
        </w:tabs>
        <w:suppressAutoHyphens/>
        <w:spacing w:after="200" w:line="240" w:lineRule="auto"/>
        <w:jc w:val="center"/>
        <w:rPr>
          <w:rFonts w:ascii="Calibri" w:eastAsia="Calibri" w:hAnsi="Calibri" w:cs="Calibri"/>
          <w:b/>
          <w:color w:val="00000A"/>
          <w:sz w:val="16"/>
        </w:rPr>
      </w:pPr>
    </w:p>
    <w:p w:rsidR="002B0509" w:rsidRDefault="002B0509">
      <w:pPr>
        <w:spacing w:before="100" w:after="0" w:line="240" w:lineRule="auto"/>
        <w:ind w:right="-427"/>
        <w:rPr>
          <w:rFonts w:ascii="Arial" w:eastAsia="Arial" w:hAnsi="Arial" w:cs="Arial"/>
          <w:b/>
          <w:sz w:val="26"/>
        </w:rPr>
      </w:pPr>
    </w:p>
    <w:p w:rsidR="002B0509" w:rsidRDefault="002B050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2B0509" w:rsidSect="00365CA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9"/>
    <w:rsid w:val="00030F8E"/>
    <w:rsid w:val="002B0509"/>
    <w:rsid w:val="002D5F13"/>
    <w:rsid w:val="00365CAE"/>
    <w:rsid w:val="00390448"/>
    <w:rsid w:val="0065205E"/>
    <w:rsid w:val="007D215C"/>
    <w:rsid w:val="007E7D2D"/>
    <w:rsid w:val="009A1224"/>
    <w:rsid w:val="00E40285"/>
    <w:rsid w:val="00E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2C0F"/>
  <w15:docId w15:val="{D71E7650-AF82-4E8C-8B5C-B942EE8D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904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4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4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4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44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sg.rj.gov.br/" TargetMode="External"/><Relationship Id="rId4" Type="http://schemas.openxmlformats.org/officeDocument/2006/relationships/hyperlink" Target="http://www.saogoncalo.rj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Nelson Souza Miranda</dc:creator>
  <cp:lastModifiedBy>Marcos Nelson Souza Miranda</cp:lastModifiedBy>
  <cp:revision>6</cp:revision>
  <dcterms:created xsi:type="dcterms:W3CDTF">2023-11-09T11:54:00Z</dcterms:created>
  <dcterms:modified xsi:type="dcterms:W3CDTF">2023-12-07T17:44:00Z</dcterms:modified>
</cp:coreProperties>
</file>